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Arial" w:eastAsia="Times New Roman" w:hAnsi="Arial" w:cs="Arial"/>
          <w:vanish/>
          <w:sz w:val="16"/>
          <w:szCs w:val="16"/>
          <w:lang w:eastAsia="tr-TR"/>
        </w:rPr>
        <w:t>Top of Form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22D9" w:rsidRPr="00A022D9" w:rsidRDefault="00A022D9" w:rsidP="00A022D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22D9" w:rsidRPr="00A022D9" w:rsidRDefault="00A022D9" w:rsidP="00A02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b/>
          <w:bCs/>
          <w:sz w:val="28"/>
          <w:lang w:eastAsia="tr-TR"/>
        </w:rPr>
        <w:t xml:space="preserve">ECON 488/688  </w:t>
      </w:r>
      <w:proofErr w:type="spellStart"/>
      <w:r w:rsidRPr="00A022D9">
        <w:rPr>
          <w:rFonts w:ascii="Times New Roman" w:eastAsia="Times New Roman" w:hAnsi="Times New Roman" w:cs="Times New Roman"/>
          <w:b/>
          <w:bCs/>
          <w:sz w:val="28"/>
          <w:lang w:eastAsia="tr-TR"/>
        </w:rPr>
        <w:t>Matchings</w:t>
      </w:r>
      <w:proofErr w:type="spellEnd"/>
      <w:r w:rsidRPr="00A022D9">
        <w:rPr>
          <w:rFonts w:ascii="Times New Roman" w:eastAsia="Times New Roman" w:hAnsi="Times New Roman" w:cs="Times New Roman"/>
          <w:b/>
          <w:bCs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b/>
          <w:bCs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b/>
          <w:bCs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b/>
          <w:bCs/>
          <w:sz w:val="28"/>
          <w:lang w:eastAsia="tr-TR"/>
        </w:rPr>
        <w:t>Markets</w:t>
      </w:r>
      <w:proofErr w:type="spellEnd"/>
    </w:p>
    <w:p w:rsidR="00A022D9" w:rsidRPr="00A022D9" w:rsidRDefault="00A022D9" w:rsidP="00A02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Spring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20</w:t>
      </w:r>
      <w:r w:rsidR="00947F17">
        <w:rPr>
          <w:rFonts w:ascii="Times New Roman" w:eastAsia="Times New Roman" w:hAnsi="Times New Roman" w:cs="Times New Roman"/>
          <w:sz w:val="28"/>
          <w:lang w:eastAsia="tr-TR"/>
        </w:rPr>
        <w:t>21</w:t>
      </w:r>
    </w:p>
    <w:p w:rsidR="00A022D9" w:rsidRPr="00A022D9" w:rsidRDefault="00947F17" w:rsidP="00A02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tr-TR"/>
        </w:rPr>
        <w:t>16:40</w:t>
      </w:r>
      <w:proofErr w:type="gramEnd"/>
      <w:r>
        <w:rPr>
          <w:rFonts w:ascii="Times New Roman" w:eastAsia="Times New Roman" w:hAnsi="Times New Roman" w:cs="Times New Roman"/>
          <w:sz w:val="28"/>
          <w:lang w:eastAsia="tr-TR"/>
        </w:rPr>
        <w:t>-19</w:t>
      </w:r>
      <w:r w:rsidR="00A022D9"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:30 </w:t>
      </w:r>
      <w:proofErr w:type="spellStart"/>
      <w:r w:rsidR="00A022D9" w:rsidRPr="00A022D9">
        <w:rPr>
          <w:rFonts w:ascii="Times New Roman" w:eastAsia="Times New Roman" w:hAnsi="Times New Roman" w:cs="Times New Roman"/>
          <w:sz w:val="28"/>
          <w:lang w:eastAsia="tr-TR"/>
        </w:rPr>
        <w:t>Monday</w:t>
      </w:r>
      <w:proofErr w:type="spellEnd"/>
    </w:p>
    <w:p w:rsidR="00A022D9" w:rsidRPr="00A022D9" w:rsidRDefault="00A022D9" w:rsidP="00947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Instructor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: </w:t>
      </w:r>
      <w:r w:rsidRPr="00A022D9">
        <w:rPr>
          <w:rFonts w:ascii="Times New Roman" w:eastAsia="Times New Roman" w:hAnsi="Times New Roman" w:cs="Times New Roman"/>
          <w:b/>
          <w:bCs/>
          <w:sz w:val="28"/>
          <w:lang w:eastAsia="tr-TR"/>
        </w:rPr>
        <w:t>Ahmet Alkan</w:t>
      </w:r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  </w:t>
      </w:r>
      <w:hyperlink r:id="rId5" w:tgtFrame="_blank" w:history="1">
        <w:r w:rsidRPr="00A022D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tr-TR"/>
          </w:rPr>
          <w:t>alkan@sabanciuniv.edu</w:t>
        </w:r>
      </w:hyperlink>
      <w:r w:rsidRPr="00A022D9">
        <w:rPr>
          <w:rFonts w:ascii="Arial" w:eastAsia="Times New Roman" w:hAnsi="Arial" w:cs="Arial"/>
          <w:color w:val="0000FF"/>
          <w:sz w:val="28"/>
          <w:u w:val="single"/>
          <w:lang w:eastAsia="tr-TR"/>
        </w:rPr>
        <w:t xml:space="preserve">  </w:t>
      </w: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</w:t>
      </w:r>
      <w:proofErr w:type="gramStart"/>
      <w:r w:rsidRPr="00A022D9">
        <w:rPr>
          <w:rFonts w:ascii="Arial" w:eastAsia="Times New Roman" w:hAnsi="Arial" w:cs="Arial"/>
          <w:color w:val="0000FF"/>
          <w:sz w:val="28"/>
          <w:u w:val="single"/>
          <w:lang w:eastAsia="tr-TR"/>
        </w:rPr>
        <w:t>05335154356</w:t>
      </w:r>
      <w:proofErr w:type="gramEnd"/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8"/>
          <w:lang w:eastAsia="tr-TR"/>
        </w:rPr>
        <w:t>Office: FASS 1031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8"/>
          <w:lang w:eastAsia="tr-TR"/>
        </w:rPr>
        <w:t>COURSE DESCRIPTION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>Matchings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>Markets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 xml:space="preserve"> </w:t>
      </w:r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is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about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markets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where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individuals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are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matched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with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individuals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or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firms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or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items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typically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across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two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sides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as in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marriage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employment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university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entrance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housing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.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Such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diverse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markets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are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looked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at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through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a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common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game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theoretic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model.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aim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is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identify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outcomes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that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have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nice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properties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such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as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stability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optimality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or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fairness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design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mechanisms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realize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such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outcomes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.  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Keywords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: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competitive</w:t>
      </w:r>
      <w:proofErr w:type="spellEnd"/>
      <w:proofErr w:type="gram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cooperative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stable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outcomes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; 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existence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optimality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order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structures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;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algorithms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constructive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procedures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;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strategic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properties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mechanisms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auctions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;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institution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market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design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. 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course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is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open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all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students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in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particular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from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Economics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Computer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Science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Industrial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Engineering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Management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>.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subject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evolved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from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original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paper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by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D. Gale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L.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Shapley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(1962)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titled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“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College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Admissions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Stability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Marriage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>” (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also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paper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by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M.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Beckmann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T.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Koopmans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(1958)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titled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“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Assignment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Problems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Location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Economic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Activities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>”.)</w:t>
      </w:r>
    </w:p>
    <w:p w:rsid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</w:t>
      </w:r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he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Economics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Nobel Prize in 2012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was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awarded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>Matchings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 xml:space="preserve"> Market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>Design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–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two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its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original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contributors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L.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Shapley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A.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Roth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–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for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remarkable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success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in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analysis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design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actual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markets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. </w:t>
      </w: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Some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current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ex</w:t>
      </w:r>
      <w:proofErr w:type="spellEnd"/>
      <w:r w:rsidR="00D73913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amples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are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(1)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student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placement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in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schools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(2)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labor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markets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between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workers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firms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, e.g</w:t>
      </w:r>
      <w:proofErr w:type="gram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.,</w:t>
      </w:r>
      <w:proofErr w:type="gram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doctors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hospitals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(3) organ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donation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in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which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patients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are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matched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potential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donors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(4)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rent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controlled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housing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markets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(5)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multi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object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auctions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. </w:t>
      </w:r>
      <w:proofErr w:type="gram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(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For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an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expository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newspaper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article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by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Alvin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Roth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see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r w:rsidR="00D73913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 </w:t>
      </w:r>
      <w:hyperlink r:id="rId6" w:history="1">
        <w:r w:rsidR="00D73913" w:rsidRPr="00B2017F">
          <w:rPr>
            <w:rStyle w:val="Hyperlink"/>
            <w:rFonts w:ascii="Arial" w:eastAsia="Times New Roman" w:hAnsi="Arial" w:cs="Arial"/>
            <w:sz w:val="28"/>
            <w:lang w:eastAsia="tr-TR"/>
          </w:rPr>
          <w:t>http:/   www.nytimes.com/2014/12/07/nyregion/how-</w:t>
        </w:r>
        <w:r w:rsidR="00D73913" w:rsidRPr="00B2017F">
          <w:rPr>
            <w:rStyle w:val="Hyperlink"/>
            <w:rFonts w:ascii="Arial" w:eastAsia="Times New Roman" w:hAnsi="Arial" w:cs="Arial"/>
            <w:sz w:val="28"/>
            <w:lang w:eastAsia="tr-TR"/>
          </w:rPr>
          <w:lastRenderedPageBreak/>
          <w:t>game-theory-helped-improve-new-york-city-high-school-application-process.html?hp&amp;action=click&amp;pgtype=Homepage&amp;module=second-column-region&amp;_r=0</w:t>
        </w:r>
      </w:hyperlink>
      <w:r w:rsidRPr="00A022D9">
        <w:rPr>
          <w:rFonts w:ascii="Times New Roman" w:eastAsia="Times New Roman" w:hAnsi="Times New Roman" w:cs="Times New Roman"/>
          <w:sz w:val="28"/>
          <w:lang w:eastAsia="tr-TR"/>
        </w:rPr>
        <w:t>,</w:t>
      </w:r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for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a video on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Kidney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Exchange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see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hyperlink r:id="rId7" w:tgtFrame="_blank" w:history="1">
        <w:r w:rsidRPr="00A022D9">
          <w:rPr>
            <w:rFonts w:ascii="Arial" w:eastAsia="Times New Roman" w:hAnsi="Arial" w:cs="Arial"/>
            <w:color w:val="0000FF"/>
            <w:sz w:val="28"/>
            <w:u w:val="single"/>
            <w:lang w:eastAsia="tr-TR"/>
          </w:rPr>
          <w:t>http://www.youtube.com/watch?v=dZUfcvBF5K4</w:t>
        </w:r>
      </w:hyperlink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.) </w:t>
      </w:r>
      <w:proofErr w:type="gramEnd"/>
    </w:p>
    <w:p w:rsidR="00D73913" w:rsidRPr="00A022D9" w:rsidRDefault="00D73913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Nobel Prize in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Economics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in 2020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awarded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jointly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Paul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Milgrom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Robert Wilson “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improvements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auction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theory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auction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tr-TR"/>
        </w:rPr>
        <w:t>formats</w:t>
      </w:r>
      <w:proofErr w:type="spellEnd"/>
      <w:r>
        <w:rPr>
          <w:rFonts w:ascii="Times New Roman" w:eastAsia="Times New Roman" w:hAnsi="Times New Roman" w:cs="Times New Roman"/>
          <w:sz w:val="28"/>
          <w:lang w:eastAsia="tr-TR"/>
        </w:rPr>
        <w:t xml:space="preserve">.” 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Recently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subject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has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also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attracted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interest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Computer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Science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(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see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conference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series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MATCH-UP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8"/>
          <w:lang w:eastAsia="tr-TR"/>
        </w:rPr>
        <w:t>Algorithmic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8"/>
          <w:lang w:eastAsia="tr-TR"/>
        </w:rPr>
        <w:t>Game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8"/>
          <w:lang w:eastAsia="tr-TR"/>
        </w:rPr>
        <w:t>Theory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.)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Algorithmic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complexity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heuristics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stands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out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as a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particular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theme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>.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This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course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is an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introduction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theory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market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design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.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There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is no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prerequisite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.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course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does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require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mathematical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thinking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rigor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but no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specific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body of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high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level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mathematical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knowledge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. 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classical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textbook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"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Two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Sided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: A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Study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in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Game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Theoretic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Modeling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Analysis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"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by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A. E.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Roth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Marilda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A. O.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Sotomayor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(1990)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articles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be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studied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will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be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uploaded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in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SuCourse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.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COURSE OUTLINE 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first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half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course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will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be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devoted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basic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proofErr w:type="gram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theory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:</w:t>
      </w:r>
      <w:proofErr w:type="gramEnd"/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Theory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one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one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one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many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many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many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markets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.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Discrete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Continuous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Models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.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Existence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Optimality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Lattice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Structure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Stable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Allocations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;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Algorithms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Procedures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;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Strategyproofness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.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(A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more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detailed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outline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is in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Appendix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below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.)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In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second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half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course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various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selections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from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extended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literature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will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 be </w:t>
      </w:r>
      <w:proofErr w:type="spellStart"/>
      <w:r w:rsidRPr="00A022D9">
        <w:rPr>
          <w:rFonts w:ascii="Times New Roman" w:eastAsia="Times New Roman" w:hAnsi="Times New Roman" w:cs="Times New Roman"/>
          <w:sz w:val="28"/>
          <w:lang w:eastAsia="tr-TR"/>
        </w:rPr>
        <w:t>studied</w:t>
      </w:r>
      <w:proofErr w:type="spellEnd"/>
      <w:r w:rsidRPr="00A022D9">
        <w:rPr>
          <w:rFonts w:ascii="Times New Roman" w:eastAsia="Times New Roman" w:hAnsi="Times New Roman" w:cs="Times New Roman"/>
          <w:sz w:val="28"/>
          <w:lang w:eastAsia="tr-TR"/>
        </w:rPr>
        <w:t>:</w:t>
      </w:r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School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Choice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with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Contracts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Fair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Allocations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Multiobject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Auctions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Kidney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Exchange, </w:t>
      </w:r>
      <w:proofErr w:type="gram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,…</w:t>
      </w:r>
      <w:proofErr w:type="gramEnd"/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8"/>
          <w:lang w:eastAsia="tr-TR"/>
        </w:rPr>
        <w:t xml:space="preserve">COURSEWORK AND GRADING 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There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will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be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two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>exams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one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covering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topics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in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first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half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other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those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covered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in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second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half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.  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In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addition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each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student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will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submit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a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>term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t>paper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on a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topic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of her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choice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approved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by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professor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. </w:t>
      </w:r>
      <w:r w:rsidR="00D73913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   A</w:t>
      </w:r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recommended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topic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will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be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integrating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“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interviewing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”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into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centralized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systems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for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example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in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lycee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university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or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postgraduate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level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placement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in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Turkey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.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i/>
          <w:iCs/>
          <w:color w:val="000000"/>
          <w:sz w:val="28"/>
          <w:lang w:eastAsia="tr-TR"/>
        </w:rPr>
        <w:lastRenderedPageBreak/>
        <w:t>Attendance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is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required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. 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In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determining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letter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grade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each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exam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will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have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35%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weight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>te</w:t>
      </w:r>
      <w:r w:rsidR="00F62D25">
        <w:rPr>
          <w:rFonts w:ascii="Times New Roman" w:eastAsia="Times New Roman" w:hAnsi="Times New Roman" w:cs="Times New Roman"/>
          <w:color w:val="000000"/>
          <w:sz w:val="28"/>
          <w:lang w:eastAsia="tr-TR"/>
        </w:rPr>
        <w:t>rm</w:t>
      </w:r>
      <w:proofErr w:type="spellEnd"/>
      <w:r w:rsidR="00F62D25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</w:t>
      </w:r>
      <w:proofErr w:type="spellStart"/>
      <w:r w:rsidR="00F62D25">
        <w:rPr>
          <w:rFonts w:ascii="Times New Roman" w:eastAsia="Times New Roman" w:hAnsi="Times New Roman" w:cs="Times New Roman"/>
          <w:color w:val="000000"/>
          <w:sz w:val="28"/>
          <w:lang w:eastAsia="tr-TR"/>
        </w:rPr>
        <w:t>paper</w:t>
      </w:r>
      <w:proofErr w:type="spellEnd"/>
      <w:r w:rsidR="00F62D25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2</w:t>
      </w:r>
      <w:r w:rsidR="00D73913">
        <w:rPr>
          <w:rFonts w:ascii="Times New Roman" w:eastAsia="Times New Roman" w:hAnsi="Times New Roman" w:cs="Times New Roman"/>
          <w:color w:val="000000"/>
          <w:sz w:val="28"/>
          <w:lang w:eastAsia="tr-TR"/>
        </w:rPr>
        <w:t>0 %</w:t>
      </w:r>
      <w:r w:rsidR="00F62D25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, </w:t>
      </w:r>
      <w:proofErr w:type="spellStart"/>
      <w:r w:rsidR="00F62D25">
        <w:rPr>
          <w:rFonts w:ascii="Times New Roman" w:eastAsia="Times New Roman" w:hAnsi="Times New Roman" w:cs="Times New Roman"/>
          <w:color w:val="000000"/>
          <w:sz w:val="28"/>
          <w:lang w:eastAsia="tr-TR"/>
        </w:rPr>
        <w:t>attendance</w:t>
      </w:r>
      <w:proofErr w:type="spellEnd"/>
      <w:r w:rsidR="00F62D25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 10%</w:t>
      </w:r>
      <w:r w:rsidRPr="00A022D9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. </w:t>
      </w:r>
    </w:p>
    <w:p w:rsidR="00A022D9" w:rsidRPr="00A022D9" w:rsidRDefault="00A022D9" w:rsidP="00A0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APPENDIX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I. 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Markets</w:t>
      </w:r>
      <w:proofErr w:type="spellEnd"/>
    </w:p>
    <w:p w:rsidR="00A022D9" w:rsidRPr="00A022D9" w:rsidRDefault="00A022D9" w:rsidP="00A022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(i)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Marriage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Model (Gale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Shapley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1962) :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Existence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stable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matchings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Lattice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structure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Optimality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Standard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proofs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             (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ii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Sellers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Buyers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Model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Transferable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Utility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Shapley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Shubik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1970)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Nontransferable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Utility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(Alkan Gale 1990) :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Existence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stable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matchings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equivalence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core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allocations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competitive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price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equilibria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Lattice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structure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Optimality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Proofs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elementary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constructive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Multiobject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auctions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Demange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Gale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Sotomayor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1986, Alkan 1992). Link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envyfree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allocations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indivisible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items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(Alkan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Demange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Gale 1991).</w:t>
      </w:r>
    </w:p>
    <w:p w:rsidR="00A022D9" w:rsidRPr="00A022D9" w:rsidRDefault="00A022D9" w:rsidP="00A022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Strategyproofness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Optimal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Mechanisms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Dubins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Freeman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1981, Gale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Sotomayor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1985,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Leonard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1982) 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II.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Many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Many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Many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Markets</w:t>
      </w:r>
      <w:proofErr w:type="spellEnd"/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what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extent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existence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structure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optimality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results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hold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many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many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many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models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Gale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Shapley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1962,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Kelso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Crawford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1982,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Roth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1982, 1984, 1985,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Gul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Stachetti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1999, 2000, Alkan 2002,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Fleiner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2003, Alkan Gale 2003,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Hatfield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Milgrom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2005. A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unified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look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alternative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constructive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procedures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proofErr w:type="gram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Tarski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Fixed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Point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Theorem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perspective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substitutability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size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monotonicity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Comparative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statics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022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References</w:t>
      </w:r>
      <w:proofErr w:type="spellEnd"/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A. Alkan, "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Equilibrium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a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market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general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preferences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Equilibrium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Dynamics.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Essays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in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Honour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David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Gale</w:t>
      </w: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ed. M.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Majumdar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MacMillan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Ltd,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London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1992</w:t>
      </w:r>
    </w:p>
    <w:p w:rsidR="00A022D9" w:rsidRPr="00A022D9" w:rsidRDefault="00A022D9" w:rsidP="00A022D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 Alkan, "A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class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multipartner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models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strong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lattice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structure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Economic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Theory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2002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A. Alkan, D. Gale, "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core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game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 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Games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Economic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Behaviour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1990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A. Alkan, D. Gale, “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Stable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schedule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under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revealed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preferences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Journal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Economic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Theory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Vol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112,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Issue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2003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 Alkan, D. Gale, G.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Demange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"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Fair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allocation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indivisible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goods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criteria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justice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Econometrica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1991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L.E.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Dubins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D.A.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Freedman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‘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Machiavelli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Gale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Shapley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algorithm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American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Mathematical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Monthly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88, 1981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T.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Fleiner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,’A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fixed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point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approach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stable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matchings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some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Mathematics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Operations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Research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28, 2003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D. Gale.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Shapley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L</w:t>
      </w:r>
      <w:proofErr w:type="gram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College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admissions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stability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marriage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American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Mathematical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Monthly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Vol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69, No. 1,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January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1962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D. Gale, M.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Sotomayor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‘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Some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remarks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stable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problem’,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Discrete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Applied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Mathematics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11, 1985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D. Gale, M.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Sotomayor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Demange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"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Multi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Item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Auctions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Journal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Political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Economy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94 (4), 1986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Gul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Stacchetti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‘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Walrasian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equilibrium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gross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substitutes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’, </w:t>
      </w:r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J.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Economic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Theory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</w:t>
      </w: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87, 1999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Gul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Stacchetti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‘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English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auction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differentiated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commodities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’, </w:t>
      </w:r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J.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Economic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Theory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</w:t>
      </w: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92, 2000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J. W.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Hatfield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  P.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Milgrom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"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Contracts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American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Economic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Review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</w:t>
      </w: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95(4)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Kelso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V.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Crawford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‘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Job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coalition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formation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gross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substitutes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Econometrica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50, 1982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H.B.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Leonard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‘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Elicitation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honest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preferences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assignment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individuals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positions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Econometrica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50, 1982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A.E.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Roth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‘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economics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stability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incentives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Mathematics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Operations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Research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7, 1982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A.E.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Roth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,’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Stability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polarization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interests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job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Econometrica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52, 1984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A.E.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Roth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‘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Conflict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coincidence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interest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job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some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new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results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open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questions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Mathematics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Operations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Research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10, 1985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A.E.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Roth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gram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M.A.O</w:t>
      </w:r>
      <w:proofErr w:type="gram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Sotomayor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Two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Sided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Matching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--A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Study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in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Game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-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Theoretic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Modeling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and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Analysis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Cambridge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Cambridge, 1990</w:t>
      </w:r>
    </w:p>
    <w:p w:rsidR="00A022D9" w:rsidRPr="00A022D9" w:rsidRDefault="00A022D9" w:rsidP="00A022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Shapley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M.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Shubik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“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Assignment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Game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I: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Core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”,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International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Journal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Game</w:t>
      </w:r>
      <w:proofErr w:type="spellEnd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22D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Theory</w:t>
      </w:r>
      <w:proofErr w:type="spellEnd"/>
      <w:r w:rsidRPr="00A022D9">
        <w:rPr>
          <w:rFonts w:ascii="Times New Roman" w:eastAsia="Times New Roman" w:hAnsi="Times New Roman" w:cs="Times New Roman"/>
          <w:sz w:val="24"/>
          <w:szCs w:val="24"/>
          <w:lang w:eastAsia="tr-TR"/>
        </w:rPr>
        <w:t>, 1, 2, 1971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022D9" w:rsidRPr="00A022D9" w:rsidTr="00A022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022D9" w:rsidRPr="00A022D9" w:rsidRDefault="00A022D9" w:rsidP="00A0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A022D9" w:rsidRPr="00A022D9" w:rsidRDefault="00A022D9" w:rsidP="00A022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A022D9">
        <w:rPr>
          <w:rFonts w:ascii="Arial" w:eastAsia="Times New Roman" w:hAnsi="Arial" w:cs="Arial"/>
          <w:vanish/>
          <w:sz w:val="16"/>
          <w:szCs w:val="16"/>
          <w:lang w:eastAsia="tr-TR"/>
        </w:rPr>
        <w:t>Bottom of Form</w:t>
      </w:r>
    </w:p>
    <w:p w:rsidR="00170802" w:rsidRPr="00D73913" w:rsidRDefault="00170802" w:rsidP="00D7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70802" w:rsidRPr="00D73913" w:rsidSect="0017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F58"/>
    <w:multiLevelType w:val="multilevel"/>
    <w:tmpl w:val="BF3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57407"/>
    <w:multiLevelType w:val="multilevel"/>
    <w:tmpl w:val="E41C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E1A2D"/>
    <w:multiLevelType w:val="multilevel"/>
    <w:tmpl w:val="CD5C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2131C"/>
    <w:multiLevelType w:val="multilevel"/>
    <w:tmpl w:val="AF503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0262"/>
    <w:multiLevelType w:val="multilevel"/>
    <w:tmpl w:val="3F2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6458C"/>
    <w:multiLevelType w:val="multilevel"/>
    <w:tmpl w:val="EB9C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52347"/>
    <w:multiLevelType w:val="multilevel"/>
    <w:tmpl w:val="05A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00992"/>
    <w:multiLevelType w:val="multilevel"/>
    <w:tmpl w:val="B422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661EC"/>
    <w:multiLevelType w:val="multilevel"/>
    <w:tmpl w:val="D1E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E5A97"/>
    <w:multiLevelType w:val="multilevel"/>
    <w:tmpl w:val="2DEC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2D9"/>
    <w:rsid w:val="00006B90"/>
    <w:rsid w:val="00170802"/>
    <w:rsid w:val="00947F17"/>
    <w:rsid w:val="00A022D9"/>
    <w:rsid w:val="00A90F71"/>
    <w:rsid w:val="00D73913"/>
    <w:rsid w:val="00F6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02"/>
  </w:style>
  <w:style w:type="paragraph" w:styleId="Heading1">
    <w:name w:val="heading 1"/>
    <w:basedOn w:val="Normal"/>
    <w:link w:val="Heading1Char"/>
    <w:uiPriority w:val="9"/>
    <w:qFormat/>
    <w:rsid w:val="00A0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A02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eading4">
    <w:name w:val="heading 4"/>
    <w:basedOn w:val="Normal"/>
    <w:link w:val="Heading4Char"/>
    <w:uiPriority w:val="9"/>
    <w:qFormat/>
    <w:rsid w:val="00A02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2D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A022D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A022D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A022D9"/>
  </w:style>
  <w:style w:type="character" w:customStyle="1" w:styleId="accesibilitykey">
    <w:name w:val="accesibility_key"/>
    <w:basedOn w:val="DefaultParagraphFont"/>
    <w:rsid w:val="00A022D9"/>
  </w:style>
  <w:style w:type="character" w:customStyle="1" w:styleId="all-sites-label">
    <w:name w:val="all-sites-label"/>
    <w:basedOn w:val="DefaultParagraphFont"/>
    <w:rsid w:val="00A022D9"/>
  </w:style>
  <w:style w:type="character" w:customStyle="1" w:styleId="mrphs-sitesnavmenuitem--myworkspace-label">
    <w:name w:val="mrphs-sitesnav__menuitem--myworkspace-label"/>
    <w:basedOn w:val="DefaultParagraphFont"/>
    <w:rsid w:val="00A022D9"/>
  </w:style>
  <w:style w:type="character" w:customStyle="1" w:styleId="skip">
    <w:name w:val="skip"/>
    <w:basedOn w:val="DefaultParagraphFont"/>
    <w:rsid w:val="00A022D9"/>
  </w:style>
  <w:style w:type="character" w:customStyle="1" w:styleId="mrphs-itemtitle">
    <w:name w:val="mrphs-itemtitle"/>
    <w:basedOn w:val="DefaultParagraphFont"/>
    <w:rsid w:val="00A022D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2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22D9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ui-sortable">
    <w:name w:val="ui-sortable"/>
    <w:basedOn w:val="DefaultParagraphFont"/>
    <w:rsid w:val="00A022D9"/>
  </w:style>
  <w:style w:type="paragraph" w:styleId="NormalWeb">
    <w:name w:val="Normal (Web)"/>
    <w:basedOn w:val="Normal"/>
    <w:uiPriority w:val="99"/>
    <w:semiHidden/>
    <w:unhideWhenUsed/>
    <w:rsid w:val="00A0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A022D9"/>
    <w:rPr>
      <w:b/>
      <w:bCs/>
    </w:rPr>
  </w:style>
  <w:style w:type="character" w:styleId="Emphasis">
    <w:name w:val="Emphasis"/>
    <w:basedOn w:val="DefaultParagraphFont"/>
    <w:uiPriority w:val="20"/>
    <w:qFormat/>
    <w:rsid w:val="00A022D9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2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22D9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mrphs-footer--navproject--poweredby">
    <w:name w:val="mrphs-footer--nav__project--poweredby"/>
    <w:basedOn w:val="DefaultParagraphFont"/>
    <w:rsid w:val="00A02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4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2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4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5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ZUfcvBF5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:/%20%20%20www.nytimes.com/2014/12/07/nyregion/how-game-theory-helped-improve-new-york-city-high-school-application-process.html?hp&amp;action=click&amp;pgtype=Homepage&amp;module=second-column-region&amp;_r=0" TargetMode="External"/><Relationship Id="rId5" Type="http://schemas.openxmlformats.org/officeDocument/2006/relationships/hyperlink" Target="mailto:alkan@sabanciuniv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suuser</cp:lastModifiedBy>
  <cp:revision>4</cp:revision>
  <dcterms:created xsi:type="dcterms:W3CDTF">2021-02-12T09:16:00Z</dcterms:created>
  <dcterms:modified xsi:type="dcterms:W3CDTF">2021-02-12T11:01:00Z</dcterms:modified>
</cp:coreProperties>
</file>